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B6" w:rsidRPr="003A14B6" w:rsidRDefault="003A14B6" w:rsidP="003A14B6">
      <w:pPr>
        <w:spacing w:before="75" w:after="75" w:line="432" w:lineRule="atLeast"/>
        <w:jc w:val="center"/>
        <w:outlineLvl w:val="0"/>
        <w:rPr>
          <w:rFonts w:ascii="Tahoma" w:eastAsia="Times New Roman" w:hAnsi="Tahoma" w:cs="Tahoma"/>
          <w:smallCaps/>
          <w:color w:val="B01717"/>
          <w:kern w:val="36"/>
          <w:sz w:val="36"/>
          <w:szCs w:val="36"/>
          <w:lang w:eastAsia="ru-RU"/>
        </w:rPr>
      </w:pPr>
      <w:r w:rsidRPr="003A14B6">
        <w:rPr>
          <w:rFonts w:ascii="Tahoma" w:eastAsia="Times New Roman" w:hAnsi="Tahoma" w:cs="Tahoma"/>
          <w:smallCaps/>
          <w:color w:val="B01717"/>
          <w:kern w:val="36"/>
          <w:sz w:val="36"/>
          <w:lang w:eastAsia="ru-RU"/>
        </w:rPr>
        <w:t>Профилактика туберкулеза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b/>
          <w:bCs/>
          <w:color w:val="23271B"/>
          <w:sz w:val="21"/>
          <w:lang w:eastAsia="ru-RU"/>
        </w:rPr>
        <w:t>   Туберкулёз</w:t>
      </w:r>
      <w:r w:rsidRPr="003A14B6">
        <w:rPr>
          <w:rFonts w:ascii="Arial" w:eastAsia="Times New Roman" w:hAnsi="Arial" w:cs="Arial"/>
          <w:color w:val="23271B"/>
          <w:sz w:val="21"/>
          <w:lang w:eastAsia="ru-RU"/>
        </w:rPr>
        <w:t> </w:t>
      </w: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(от лат.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tuberculum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— бугорок) — широко распространённое в мире инфекционное заболевание человека и животных, вызываемое различными видами микобактерий, как правило,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Mycobacterium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tuberculosis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(палочка Коха). Туберкулёз обычно поражает лёгкие, реже затрагивая другие органы и системы.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Mycobacterium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tuberculosis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передаётся воздушно-капельным путём при разговоре, кашле и чихании больного. Чаще всего после инфицирования микобактериями заболевание протекает в бессимптомной, скрытой форме (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тубинфицированность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), но примерно один из десяти случаев скрытой </w:t>
      </w:r>
      <w:proofErr w:type="gram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инфекции</w:t>
      </w:r>
      <w:proofErr w:type="gram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в конце концов переходит в активную форму.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Классические симптомы туберкулёза лёгких — длительный кашель с мокротой, иногда с кровохарканьем, появляющимся на более поздних стадиях, лихорадка, слабость, ночная потливость и значительное похудение. Диагностика основана на флюорографии и рентгенографии поражённых органов и систем, микробиологическом исследовании различного биологического материала, кожной туберкулиновой пробе (реакции Манту), а также методе молекулярно-генетического анализа (метод ПЦР) и др. Лечение сложное и длительное, требующее приёма препаратов в течение минимум шести месяцев. Лиц, контактировавших с больным, обследуют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флюорографически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или с помощью реакции Манту, с возможностью назначения профилактического лечения противотуберкулёзными препаратами.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Заметные сложности в лечении туберкулёза возникают при наличии устойчивости возбудителя к противотуберкулёзным препаратам основного и, реже, резервного ряда, которая может быть выявлена только при микробиологическом исследовании. Устойчивость к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изониазиду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и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рифампицину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также может быть установлена методом ПЦР. Профилактика туберкулёза основана на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скрининговых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программах,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профосмотрах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, а также на вакцинации детей вакциной БЦЖ или БЦЖ-М.</w:t>
      </w:r>
    </w:p>
    <w:p w:rsidR="003A14B6" w:rsidRPr="003A14B6" w:rsidRDefault="003A14B6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  <w:r w:rsidRPr="003A14B6"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  <w:t>Профилактика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Основной профилактикой туберкулёза на сегодняшний день является вакцина БЦЖ (BCG). В соответствии с «Национальным календарём профилактических прививок» прививку делают в роддоме при отсутствии противопоказаний </w:t>
      </w:r>
      <w:proofErr w:type="gram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в первые</w:t>
      </w:r>
      <w:proofErr w:type="gram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3—7 дней жизни ребенка. В 7 и 14 лет при отрицательной реакции Манту и отсутствии противопоказаний проводят ревакцинацию.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С целью выявления туберкулёза на ранних стадиях, всем взрослым 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«группам риска»). Также при резком изменении реакции Манту по сравнению с предыдущей (т. н. «вираже»), фтизиатром может быть </w:t>
      </w:r>
      <w:proofErr w:type="gram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предложено</w:t>
      </w:r>
      <w:proofErr w:type="gram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провести профилактическую химиотерапию несколькими препаратами, как правило, в комплексе с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гепатопротекторами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и витаминами группы B.</w:t>
      </w:r>
    </w:p>
    <w:p w:rsidR="003A14B6" w:rsidRPr="003A14B6" w:rsidRDefault="003A14B6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  <w:r w:rsidRPr="003A14B6"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  <w:t xml:space="preserve"> «О ПРОФИЛАКТИКЕ ТУБЕРКУЛЕЗА В РФ»</w:t>
      </w:r>
    </w:p>
    <w:p w:rsidR="003A14B6" w:rsidRPr="003A14B6" w:rsidRDefault="003A14B6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  <w:r w:rsidRPr="003A14B6">
        <w:rPr>
          <w:rFonts w:ascii="Arial" w:eastAsia="Times New Roman" w:hAnsi="Arial" w:cs="Arial"/>
          <w:b/>
          <w:bCs/>
          <w:smallCaps/>
          <w:color w:val="B01717"/>
          <w:sz w:val="27"/>
          <w:szCs w:val="27"/>
          <w:lang w:eastAsia="ru-RU"/>
        </w:rPr>
        <w:t>V. Организация раннего выявления туберкулеза у детей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5.1. В целях раннего выявления туберкулеза у детей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туберкулинодиагностику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проводят вакцинированным против туберкулеза детям с 12-месячного возраста и до достижения возраста 18 лет.</w:t>
      </w: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br/>
        <w:t>Внутрикожную аллергическую пробу с туберкулином (далее – проба Манту) ставят 1 раз в год, независимо от результата предыдущих проб.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5.2. Детям, не вакцинированным против туберкулеза по медицинским противопоказаниям, пробу Манту ставят с 6-месячного возраста 2 раза в год до получения ребенком прививки БЦЖ-М вакциной.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5.3. Постановку пробы Манту осуществляют средние медицинские работники детских, подростковых, амбулаторно-поликлинических и оздоровительных организаций, имеющие справку-допуск.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lastRenderedPageBreak/>
        <w:t>5.4. Не допускается проведение пробы Манту на дому, а также в детских и подростковых коллективах в период карантина по инфекционным заболеваниям. Постановку проб Манту целесообразно проводить до любых профилактических прививок (дифтерии, кори и т.д.).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5.5. Интервал между профилактической прививкой, биологической диагностической пробой и пробой Манту должен быть не менее одного месяца. В день постановки туберкулиновых проб проводят медицинский осмотр детей.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5.6. В течение 6 дней с момента постановки пробы Манту направляют на консультацию к фтизиатру в противотуберкулезный диспансер по месту жительства детей:</w:t>
      </w: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br/>
        <w:t>— с впервые положительной реакцией (папула 5 мм и более), не связанной с предыдущей иммунизацией против туберкулеза;</w:t>
      </w: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br/>
        <w:t>— со стойко (4 года) сохраняющейся реакцией с инфильтратом 12 мм и более;</w:t>
      </w: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br/>
        <w:t xml:space="preserve">— с нарастанием чувствительности к туберкулину у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туберкулиноположительных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детей — увеличение инфильтрата на 6 мм и более или увеличение менее чем на 6 мм, но с образованием инфильтрата размером 12 мм и более;</w:t>
      </w: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br/>
        <w:t xml:space="preserve">—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гиперреакцией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на туберкулин-инфильтрат 17 мм и более или меньших размеров, но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везикуло-некротического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характера.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5.7. Детей, направленных на консультацию в противотуберкулезный диспансер, родители которых не представили в течение 1 месяца с момента постановки пробы Манту заключение фтизиатра об отсутствии заболевания туберкулезом, не рекомендуется допускать в детский коллектив.</w:t>
      </w:r>
    </w:p>
    <w:p w:rsidR="003A14B6" w:rsidRPr="003A14B6" w:rsidRDefault="003A14B6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5.8. Планирование, организацию, своевременный и полный учет проведенных проб Манту (проводимых с целью раннего выявления туберкулеза и иммунизации против туберкулеза) по данным индивидуального учета детского населения, а также взаимодействие с противотуберкулезными учреждениями по вопросу своевременной явки и обследования детей, направленных на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дообследование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 к фтизиатру по результатам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туберкулино-диагностики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, обеспечивают руководители </w:t>
      </w:r>
      <w:proofErr w:type="spell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мед</w:t>
      </w:r>
      <w:proofErr w:type="gramStart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.у</w:t>
      </w:r>
      <w:proofErr w:type="gram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чреждений</w:t>
      </w:r>
      <w:proofErr w:type="spellEnd"/>
      <w:r w:rsidRP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.</w:t>
      </w: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6409AC" w:rsidRDefault="006409AC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</w:p>
    <w:p w:rsidR="003A14B6" w:rsidRPr="003A14B6" w:rsidRDefault="003A14B6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  <w:r w:rsidRPr="003A14B6"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  <w:t>Программа проведения мероприятий, посвящённых</w:t>
      </w:r>
    </w:p>
    <w:p w:rsidR="003A14B6" w:rsidRPr="003A14B6" w:rsidRDefault="003A14B6" w:rsidP="003A14B6">
      <w:pPr>
        <w:spacing w:before="150" w:after="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  <w:r w:rsidRPr="003A14B6"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  <w:t>Всемирному дню профилактики туберкулеза</w:t>
      </w:r>
    </w:p>
    <w:p w:rsidR="003A14B6" w:rsidRPr="006409AC" w:rsidRDefault="006409AC" w:rsidP="003A14B6">
      <w:pPr>
        <w:spacing w:before="150" w:after="270" w:line="324" w:lineRule="atLeast"/>
        <w:jc w:val="center"/>
        <w:outlineLvl w:val="2"/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</w:pPr>
      <w:r w:rsidRPr="006409AC"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  <w:t>МБДОУ НГО «</w:t>
      </w:r>
      <w:r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  <w:t>Детский сад №</w:t>
      </w:r>
      <w:r w:rsidRPr="006409AC">
        <w:rPr>
          <w:rFonts w:ascii="Arial" w:eastAsia="Times New Roman" w:hAnsi="Arial" w:cs="Arial"/>
          <w:smallCaps/>
          <w:color w:val="B01717"/>
          <w:sz w:val="27"/>
          <w:szCs w:val="27"/>
          <w:lang w:eastAsia="ru-RU"/>
        </w:rPr>
        <w:t xml:space="preserve"> 15 «Березка»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5754"/>
        <w:gridCol w:w="3132"/>
      </w:tblGrid>
      <w:tr w:rsidR="003A14B6" w:rsidRPr="003A14B6" w:rsidTr="003A14B6">
        <w:tc>
          <w:tcPr>
            <w:tcW w:w="52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91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1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3A14B6" w:rsidRPr="003A14B6" w:rsidTr="003A14B6">
        <w:tc>
          <w:tcPr>
            <w:tcW w:w="52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1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Лекция «Туберкулез. Классификация, профилактика »</w:t>
            </w:r>
          </w:p>
        </w:tc>
        <w:tc>
          <w:tcPr>
            <w:tcW w:w="31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3A14B6" w:rsidRPr="003A14B6" w:rsidTr="003A14B6">
        <w:tc>
          <w:tcPr>
            <w:tcW w:w="52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1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Беседа с родителями и сотрудниками ДОУ «Что такое туберкулез »,</w:t>
            </w:r>
            <w:r w:rsidR="00781C7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«Подготовка к </w:t>
            </w:r>
            <w:proofErr w:type="spellStart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туберкулинодиагностике</w:t>
            </w:r>
            <w:proofErr w:type="spellEnd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1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</w:t>
            </w:r>
            <w:proofErr w:type="gramStart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.м</w:t>
            </w:r>
            <w:proofErr w:type="gramEnd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едсестра </w:t>
            </w:r>
          </w:p>
        </w:tc>
      </w:tr>
      <w:tr w:rsidR="003A14B6" w:rsidRPr="003A14B6" w:rsidTr="003A14B6">
        <w:tc>
          <w:tcPr>
            <w:tcW w:w="52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1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781C72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Познавательная беседа  о профилактики туберкулёза</w:t>
            </w:r>
          </w:p>
        </w:tc>
        <w:tc>
          <w:tcPr>
            <w:tcW w:w="31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781C72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Воспитатели старших, подготовительных групп</w:t>
            </w:r>
            <w:r w:rsidR="003A14B6"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3A14B6" w:rsidRPr="003A14B6" w:rsidTr="003A14B6">
        <w:tc>
          <w:tcPr>
            <w:tcW w:w="52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1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Оформление стенда с информацией о туберкулезе</w:t>
            </w:r>
          </w:p>
        </w:tc>
        <w:tc>
          <w:tcPr>
            <w:tcW w:w="31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</w:t>
            </w:r>
            <w:proofErr w:type="gramStart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.м</w:t>
            </w:r>
            <w:proofErr w:type="gramEnd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едсестра </w:t>
            </w:r>
          </w:p>
        </w:tc>
      </w:tr>
      <w:tr w:rsidR="003A14B6" w:rsidRPr="003A14B6" w:rsidTr="003A14B6">
        <w:tc>
          <w:tcPr>
            <w:tcW w:w="52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91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Оформление информации для стендов в группах</w:t>
            </w:r>
          </w:p>
        </w:tc>
        <w:tc>
          <w:tcPr>
            <w:tcW w:w="31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</w:t>
            </w:r>
            <w:proofErr w:type="gramStart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.м</w:t>
            </w:r>
            <w:proofErr w:type="gramEnd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едсестра </w:t>
            </w:r>
          </w:p>
        </w:tc>
      </w:tr>
      <w:tr w:rsidR="003A14B6" w:rsidRPr="003A14B6" w:rsidTr="003A14B6">
        <w:tc>
          <w:tcPr>
            <w:tcW w:w="52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91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Размещение информации для родителей на сайте образовательного учреждения</w:t>
            </w:r>
          </w:p>
        </w:tc>
        <w:tc>
          <w:tcPr>
            <w:tcW w:w="31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14B6" w:rsidRPr="003A14B6" w:rsidRDefault="003A14B6" w:rsidP="003A14B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</w:t>
            </w:r>
            <w:proofErr w:type="gramStart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.м</w:t>
            </w:r>
            <w:proofErr w:type="gramEnd"/>
            <w:r w:rsidRPr="003A14B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едсестра </w:t>
            </w:r>
          </w:p>
        </w:tc>
      </w:tr>
    </w:tbl>
    <w:p w:rsidR="003A14B6" w:rsidRPr="003A14B6" w:rsidRDefault="006409AC" w:rsidP="003A14B6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3271B"/>
          <w:sz w:val="21"/>
          <w:szCs w:val="21"/>
          <w:lang w:eastAsia="ru-RU"/>
        </w:rPr>
        <w:t>Заведующий М</w:t>
      </w:r>
      <w:r w:rsidR="003A14B6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БДОУ </w:t>
      </w:r>
      <w:r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НГО «Детский сад № 15 «Березка»                             С.А. </w:t>
      </w:r>
      <w:proofErr w:type="spellStart"/>
      <w:r>
        <w:rPr>
          <w:rFonts w:ascii="Arial" w:eastAsia="Times New Roman" w:hAnsi="Arial" w:cs="Arial"/>
          <w:color w:val="23271B"/>
          <w:sz w:val="21"/>
          <w:szCs w:val="21"/>
          <w:lang w:eastAsia="ru-RU"/>
        </w:rPr>
        <w:t>Рейзенгауер</w:t>
      </w:r>
      <w:proofErr w:type="spellEnd"/>
    </w:p>
    <w:p w:rsidR="00065E84" w:rsidRDefault="00065E84"/>
    <w:sectPr w:rsidR="00065E84" w:rsidSect="0006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4B6"/>
    <w:rsid w:val="00065E84"/>
    <w:rsid w:val="003A14B6"/>
    <w:rsid w:val="006409AC"/>
    <w:rsid w:val="00765B3D"/>
    <w:rsid w:val="00781C72"/>
    <w:rsid w:val="008F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84"/>
  </w:style>
  <w:style w:type="paragraph" w:styleId="1">
    <w:name w:val="heading 1"/>
    <w:basedOn w:val="a"/>
    <w:link w:val="10"/>
    <w:uiPriority w:val="9"/>
    <w:qFormat/>
    <w:rsid w:val="003A1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1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4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4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icon">
    <w:name w:val="art-postheadericon"/>
    <w:basedOn w:val="a0"/>
    <w:rsid w:val="003A14B6"/>
  </w:style>
  <w:style w:type="paragraph" w:styleId="a3">
    <w:name w:val="Normal (Web)"/>
    <w:basedOn w:val="a"/>
    <w:uiPriority w:val="99"/>
    <w:unhideWhenUsed/>
    <w:rsid w:val="003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4B6"/>
    <w:rPr>
      <w:b/>
      <w:bCs/>
    </w:rPr>
  </w:style>
  <w:style w:type="character" w:customStyle="1" w:styleId="apple-converted-space">
    <w:name w:val="apple-converted-space"/>
    <w:basedOn w:val="a0"/>
    <w:rsid w:val="003A1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Каленюк</cp:lastModifiedBy>
  <cp:revision>3</cp:revision>
  <cp:lastPrinted>2016-03-16T08:05:00Z</cp:lastPrinted>
  <dcterms:created xsi:type="dcterms:W3CDTF">2016-03-15T13:31:00Z</dcterms:created>
  <dcterms:modified xsi:type="dcterms:W3CDTF">2016-03-17T05:51:00Z</dcterms:modified>
</cp:coreProperties>
</file>